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5127625</wp:posOffset>
            </wp:positionH>
            <wp:positionV relativeFrom="paragraph">
              <wp:posOffset>0</wp:posOffset>
            </wp:positionV>
            <wp:extent cx="1152525" cy="1270635"/>
            <wp:effectExtent b="19050" l="19050" r="19050" t="19050"/>
            <wp:wrapSquare wrapText="bothSides" distB="0" distT="0" distL="114300" distR="114300"/>
            <wp:docPr descr="rad1" id="4" name="image1.png"/>
            <a:graphic>
              <a:graphicData uri="http://schemas.openxmlformats.org/drawingml/2006/picture">
                <pic:pic>
                  <pic:nvPicPr>
                    <pic:cNvPr descr="rad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70635"/>
                    </a:xfrm>
                    <a:prstGeom prst="rect"/>
                    <a:ln w="19050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Radhika Mittal Garg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Mobile: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+91-9711513779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radhikamittal85@yahoo.in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color w:val="5b9bd5"/>
          <w:sz w:val="18"/>
          <w:szCs w:val="18"/>
          <w:rtl w:val="0"/>
        </w:rPr>
        <w:t xml:space="preserve">8 years’ experience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color w:val="5b9bd5"/>
          <w:sz w:val="18"/>
          <w:szCs w:val="18"/>
          <w:rtl w:val="0"/>
        </w:rPr>
        <w:t xml:space="preserve">ITG Telematics (P) Ltd.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b9bd5"/>
          <w:sz w:val="18"/>
          <w:szCs w:val="18"/>
          <w:rtl w:val="0"/>
        </w:rPr>
        <w:t xml:space="preserve">Process &amp; Operations Manager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be5f1" w:val="clear"/>
        <w:ind w:left="2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0B">
      <w:pPr>
        <w:ind w:left="288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7"/>
        <w:gridCol w:w="1819"/>
        <w:gridCol w:w="4336"/>
        <w:gridCol w:w="751"/>
        <w:gridCol w:w="1208"/>
        <w:tblGridChange w:id="0">
          <w:tblGrid>
            <w:gridCol w:w="1487"/>
            <w:gridCol w:w="1819"/>
            <w:gridCol w:w="4336"/>
            <w:gridCol w:w="751"/>
            <w:gridCol w:w="1208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b w:val="1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18"/>
                <w:szCs w:val="18"/>
                <w:rtl w:val="0"/>
              </w:rPr>
              <w:t xml:space="preserve">Degree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b w:val="1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18"/>
                <w:szCs w:val="18"/>
                <w:rtl w:val="0"/>
              </w:rPr>
              <w:t xml:space="preserve">Specialization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b w:val="1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18"/>
                <w:szCs w:val="18"/>
                <w:rtl w:val="0"/>
              </w:rPr>
              <w:t xml:space="preserve">Institute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b w:val="1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b w:val="1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18"/>
                <w:szCs w:val="18"/>
                <w:rtl w:val="0"/>
              </w:rPr>
              <w:t xml:space="preserve">Percentage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MBA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HR &amp; Finance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Hindustan College of Science &amp; Technology, Mathura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67.72%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BA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English, Economics,  Political science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Gochar Maha Vidhayalaya, Rampur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61.68%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Senior Secondary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DAV Public school, Saharanpur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80%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Secondary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DAV Public school, Saharanpur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360"/>
              </w:tabs>
              <w:jc w:val="center"/>
              <w:rPr>
                <w:rFonts w:ascii="Arial" w:cs="Arial" w:eastAsia="Arial" w:hAnsi="Arial"/>
                <w:color w:val="35353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53535"/>
                <w:sz w:val="18"/>
                <w:szCs w:val="18"/>
                <w:rtl w:val="0"/>
              </w:rPr>
              <w:t xml:space="preserve">50.2%</w:t>
            </w:r>
          </w:p>
        </w:tc>
      </w:tr>
    </w:tbl>
    <w:p w:rsidR="00000000" w:rsidDel="00000000" w:rsidP="00000000" w:rsidRDefault="00000000" w:rsidRPr="00000000" w14:paraId="00000025">
      <w:pPr>
        <w:ind w:left="288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be5f1" w:val="clear"/>
        <w:ind w:left="2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Skills- Technical/ Managerial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Technical skills </w:t>
      </w:r>
      <w:r w:rsidDel="00000000" w:rsidR="00000000" w:rsidRPr="00000000">
        <w:rPr>
          <w:sz w:val="18"/>
          <w:szCs w:val="18"/>
          <w:rtl w:val="0"/>
        </w:rPr>
        <w:t xml:space="preserve">- Powerpoint, Pivot tables, MIS, Excel, MS word, Tally, Payroll, V-lookups   </w:t>
      </w:r>
    </w:p>
    <w:p w:rsidR="00000000" w:rsidDel="00000000" w:rsidP="00000000" w:rsidRDefault="00000000" w:rsidRPr="00000000" w14:paraId="00000029">
      <w:pPr>
        <w:ind w:left="284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84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Managerial skills </w:t>
      </w:r>
      <w:r w:rsidDel="00000000" w:rsidR="00000000" w:rsidRPr="00000000">
        <w:rPr>
          <w:sz w:val="18"/>
          <w:szCs w:val="18"/>
          <w:rtl w:val="0"/>
        </w:rPr>
        <w:t xml:space="preserve">– After sales service and support, Team Lead, Customer Relationship Management, Procurement &amp; Vendor Management, Software structuring, Training &amp; Development, Attrition Management, Escalation management,Scheduling &amp; delegation of Administrative tasks, Operations Management, Task &amp; Performance management.</w:t>
      </w:r>
    </w:p>
    <w:p w:rsidR="00000000" w:rsidDel="00000000" w:rsidP="00000000" w:rsidRDefault="00000000" w:rsidRPr="00000000" w14:paraId="0000002B">
      <w:pPr>
        <w:ind w:left="28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be5f1" w:val="clear"/>
        <w:ind w:left="2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Experience                                                                                                                 </w:t>
      </w:r>
    </w:p>
    <w:p w:rsidR="00000000" w:rsidDel="00000000" w:rsidP="00000000" w:rsidRDefault="00000000" w:rsidRPr="00000000" w14:paraId="0000002D">
      <w:pPr>
        <w:spacing w:after="120" w:before="120" w:lineRule="auto"/>
        <w:ind w:left="288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Rule="auto"/>
        <w:ind w:left="28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ITG Telematics (P) Ltd.                                                                                                           2011-2019</w:t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b w:val="1"/>
          <w:color w:val="ed7d3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color w:val="ed7d31"/>
          <w:sz w:val="21"/>
          <w:szCs w:val="21"/>
          <w:rtl w:val="0"/>
        </w:rPr>
        <w:t xml:space="preserve">         Process &amp; Operations Manager                                                                                                                 Feb’17- June‘19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Responsible for software structuring to ensure smooth running of operation activities &amp; to control cost, time and manpower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Data collection and analysis to find our area of improvement, product quality and performance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Performance evaluation of team to ensure customer satisfaction.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60" w:lineRule="auto"/>
        <w:ind w:left="10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Weekly Reviews to the Management on key deliverables.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Handling Escalations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Task Management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Problem solving of Team , branches and Clients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Synchronization between different departments and branches at operational level.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Training and Development.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HR activities to maintain and regulate Selection, Absentees, Travel Allowance, Extra working days.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72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mbria" w:cs="Cambria" w:eastAsia="Cambria" w:hAnsi="Cambria"/>
          <w:b w:val="1"/>
          <w:color w:val="ed7d3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color w:val="ed7d31"/>
          <w:sz w:val="21"/>
          <w:szCs w:val="21"/>
          <w:rtl w:val="0"/>
        </w:rPr>
        <w:t xml:space="preserve">        Branch Manager (Operation)                                                                                                                 Apr‘15 – Jan’17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Business development   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Organize, plan &amp; supervise inventory movement.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Monitor team performance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Motivate team members to achieve targets in terms of sales &amp; collections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Training &amp; Development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0" w:lineRule="auto"/>
        <w:ind w:left="102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Evaluation of branch performance</w:t>
      </w:r>
    </w:p>
    <w:p w:rsidR="00000000" w:rsidDel="00000000" w:rsidP="00000000" w:rsidRDefault="00000000" w:rsidRPr="00000000" w14:paraId="00000042">
      <w:pPr>
        <w:jc w:val="both"/>
        <w:rPr>
          <w:rFonts w:ascii="Cambria" w:cs="Cambria" w:eastAsia="Cambria" w:hAnsi="Cambria"/>
          <w:b w:val="1"/>
          <w:color w:val="ed7d3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  <w:b w:val="1"/>
          <w:color w:val="ed7d3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color w:val="ed7d31"/>
          <w:sz w:val="21"/>
          <w:szCs w:val="21"/>
          <w:rtl w:val="0"/>
        </w:rPr>
        <w:t xml:space="preserve">        Service &amp; Support Manager (Operation)                                                                                           Feb ‘11 – Mar’15</w:t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360"/>
        </w:tabs>
        <w:jc w:val="both"/>
        <w:rPr>
          <w:rFonts w:ascii="Arial" w:cs="Arial" w:eastAsia="Arial" w:hAnsi="Arial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360"/>
        </w:tabs>
        <w:jc w:val="both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Relationship Building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60" w:lineRule="auto"/>
        <w:ind w:left="1080" w:hanging="360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Coordinating with the client on process related issues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Ensuring turnaround within the stipulated time and making them faster by improving the processes.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Managing daily performance to ensure that all Associates and Team Leads are meeting SLAs.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Meeting/exceeding service and quality levels as assigned by Management/Client.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Identify and participate in training / developmental programs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Knowledge management for the team and quality control</w:t>
      </w:r>
    </w:p>
    <w:p w:rsidR="00000000" w:rsidDel="00000000" w:rsidP="00000000" w:rsidRDefault="00000000" w:rsidRPr="00000000" w14:paraId="0000004D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80" w:lineRule="auto"/>
        <w:jc w:val="both"/>
        <w:rPr>
          <w:rFonts w:ascii="Arial" w:cs="Arial" w:eastAsia="Arial" w:hAnsi="Arial"/>
          <w:color w:val="353535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dbe5f1" w:val="clear"/>
        <w:ind w:left="2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Achievements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sz w:val="18"/>
          <w:szCs w:val="18"/>
          <w:rtl w:val="0"/>
        </w:rPr>
        <w:t xml:space="preserve">Able to stand on company expectations for stable branch development at Mumbai, Ahmedabad.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Able to develop ERP for internal clients to synch, monitor and control operational activities of different departments and branches to manage time and tasks online.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Able to deliver No. of projects in Artificial Intelligence like GPS system (online fleet management solutions) to manage time, cost, revenue &amp; business activities.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Development and implementation of mobile Application for Field Executive to track their real Location, Reporting time at site, assigned task status.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dbe5f1" w:val="clear"/>
        <w:ind w:left="288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Fonts w:ascii="Arial" w:cs="Arial" w:eastAsia="Arial" w:hAnsi="Arial"/>
          <w:sz w:val="6"/>
          <w:szCs w:val="6"/>
          <w:rtl w:val="0"/>
        </w:rPr>
        <w:t xml:space="preserve">;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 of Birth  : 14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sz w:val="18"/>
          <w:szCs w:val="18"/>
          <w:rtl w:val="0"/>
        </w:rPr>
        <w:t xml:space="preserve"> September’1989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Marital Status : Married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Husband Name  : Mr. Harshit Garg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360" w:lineRule="auto"/>
        <w:ind w:left="108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Mailing Address : C3 / 10, 1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sz w:val="18"/>
          <w:szCs w:val="18"/>
          <w:rtl w:val="0"/>
        </w:rPr>
        <w:t xml:space="preserve"> floor , Yamuna Vihar , New Delhi-53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Date: </w:t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Place: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(Radhika Mittal Garg)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170" w:top="900" w:left="1008" w:right="1008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aramond"/>
  <w:font w:name="Georgia"/>
  <w:font w:name="Verdan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line="28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Garamond" w:cs="Garamond" w:eastAsia="Garamond" w:hAnsi="Garamond"/>
      <w:b w:val="1"/>
      <w:sz w:val="48"/>
      <w:szCs w:val="4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5DA9"/>
  </w:style>
  <w:style w:type="paragraph" w:styleId="Heading1">
    <w:name w:val="heading 1"/>
    <w:basedOn w:val="Normal"/>
    <w:next w:val="Normal"/>
    <w:link w:val="Heading1Char"/>
    <w:uiPriority w:val="9"/>
    <w:qFormat w:val="1"/>
    <w:rsid w:val="00445DA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445DA9"/>
    <w:pPr>
      <w:keepNext w:val="1"/>
      <w:spacing w:after="60" w:before="240"/>
      <w:outlineLvl w:val="1"/>
    </w:pPr>
    <w:rPr>
      <w:rFonts w:ascii="Cambria" w:cs="Mangal" w:hAnsi="Cambria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qFormat w:val="1"/>
    <w:rsid w:val="00445DA9"/>
    <w:pPr>
      <w:keepNext w:val="1"/>
      <w:outlineLvl w:val="3"/>
    </w:pPr>
    <w:rPr>
      <w:rFonts w:ascii="Garamond" w:hAnsi="Garamond"/>
      <w:b w:val="1"/>
      <w:snapToGrid w:val="0"/>
      <w:spacing w:val="10"/>
      <w:sz w:val="48"/>
      <w:szCs w:val="20"/>
      <w:lang w:val="en-US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rsid w:val="00445DA9"/>
    <w:rPr>
      <w:rFonts w:ascii="Cambria" w:cs="Mangal" w:eastAsia="Times New Roman" w:hAnsi="Cambria"/>
      <w:b w:val="1"/>
      <w:bCs w:val="1"/>
      <w:i w:val="1"/>
      <w:iCs w:val="1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rsid w:val="00445DA9"/>
    <w:rPr>
      <w:rFonts w:ascii="Garamond" w:cs="Times New Roman" w:eastAsia="Times New Roman" w:hAnsi="Garamond"/>
      <w:b w:val="1"/>
      <w:snapToGrid w:val="0"/>
      <w:spacing w:val="10"/>
      <w:sz w:val="48"/>
      <w:szCs w:val="20"/>
      <w:lang w:val="en-US"/>
    </w:rPr>
  </w:style>
  <w:style w:type="character" w:styleId="ColorfulList-Accent1Char" w:customStyle="1">
    <w:name w:val="Colorful List - Accent 1 Char"/>
    <w:link w:val="ColorfulList-Accent1"/>
    <w:rsid w:val="00445DA9"/>
    <w:rPr>
      <w:sz w:val="24"/>
      <w:szCs w:val="24"/>
      <w:lang w:bidi="ar-SA" w:eastAsia="en-US" w:val="en-GB"/>
    </w:rPr>
  </w:style>
  <w:style w:type="paragraph" w:styleId="Footer">
    <w:name w:val="footer"/>
    <w:basedOn w:val="Normal"/>
    <w:link w:val="FooterChar"/>
    <w:unhideWhenUsed w:val="1"/>
    <w:rsid w:val="00445D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45DA9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ResumeSections" w:customStyle="1">
    <w:name w:val="Resume Sections"/>
    <w:basedOn w:val="Heading1"/>
    <w:rsid w:val="00445DA9"/>
    <w:pPr>
      <w:keepLines w:val="0"/>
      <w:tabs>
        <w:tab w:val="right" w:leader="underscore" w:pos="9360"/>
      </w:tabs>
      <w:spacing w:after="100" w:before="0"/>
    </w:pPr>
    <w:rPr>
      <w:rFonts w:ascii="Garamond" w:cs="Times New Roman" w:eastAsia="Times New Roman" w:hAnsi="Garamond"/>
      <w:b w:val="1"/>
      <w:color w:val="auto"/>
      <w:sz w:val="22"/>
      <w:szCs w:val="20"/>
      <w:lang w:val="en-US"/>
    </w:rPr>
  </w:style>
  <w:style w:type="character" w:styleId="Strong">
    <w:name w:val="Strong"/>
    <w:qFormat w:val="1"/>
    <w:rsid w:val="00445DA9"/>
    <w:rPr>
      <w:b w:val="1"/>
      <w:bCs w:val="1"/>
    </w:rPr>
  </w:style>
  <w:style w:type="character" w:styleId="apple-style-span" w:customStyle="1">
    <w:name w:val="apple-style-span"/>
    <w:basedOn w:val="DefaultParagraphFont"/>
    <w:rsid w:val="00445DA9"/>
  </w:style>
  <w:style w:type="paragraph" w:styleId="PlainText">
    <w:name w:val="Plain Text"/>
    <w:basedOn w:val="Normal"/>
    <w:link w:val="PlainTextChar"/>
    <w:rsid w:val="00445DA9"/>
    <w:rPr>
      <w:rFonts w:ascii="Courier New" w:cs="Courier New" w:hAnsi="Courier New"/>
      <w:sz w:val="20"/>
      <w:szCs w:val="20"/>
      <w:lang w:val="en-US"/>
    </w:rPr>
  </w:style>
  <w:style w:type="character" w:styleId="PlainTextChar" w:customStyle="1">
    <w:name w:val="Plain Text Char"/>
    <w:basedOn w:val="DefaultParagraphFont"/>
    <w:link w:val="PlainText"/>
    <w:rsid w:val="00445DA9"/>
    <w:rPr>
      <w:rFonts w:ascii="Courier New" w:cs="Courier New" w:eastAsia="Times New Roman" w:hAnsi="Courier New"/>
      <w:sz w:val="20"/>
      <w:szCs w:val="20"/>
      <w:lang w:val="en-US"/>
    </w:rPr>
  </w:style>
  <w:style w:type="character" w:styleId="Emphasis">
    <w:name w:val="Emphasis"/>
    <w:qFormat w:val="1"/>
    <w:rsid w:val="00445DA9"/>
    <w:rPr>
      <w:i w:val="1"/>
      <w:iCs w:val="1"/>
    </w:rPr>
  </w:style>
  <w:style w:type="table" w:styleId="ColorfulList-Accent1">
    <w:name w:val="Colorful List Accent 1"/>
    <w:basedOn w:val="TableNormal"/>
    <w:link w:val="ColorfulList-Accent1Char"/>
    <w:semiHidden w:val="1"/>
    <w:unhideWhenUsed w:val="1"/>
    <w:rsid w:val="00445DA9"/>
    <w:tblPr>
      <w:tblStyleRowBandSize w:val="1"/>
      <w:tblStyleColBandSize w:val="1"/>
    </w:tblPr>
    <w:tcPr>
      <w:shd w:color="auto" w:fill="eef5fb" w:themeFill="accent1" w:themeFillTint="000019" w:val="clear"/>
    </w:tcPr>
    <w:tblStylePr w:type="firstRow"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445DA9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 w:val="1"/>
    <w:rsid w:val="00746D3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364E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ef5fa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ef5f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adhikamittal85@yahoo.in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2019-11-11T15:42:00Z</dcterms:created>
  <dc:creator>Harshit Garg</dc:creator>
</cp:coreProperties>
</file>